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0">
            <wp:extent cx="2679700" cy="1089025"/>
            <wp:effectExtent l="0" t="0" r="0" b="0"/>
            <wp:docPr id="1" name="Рисунок 2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 объекты культурного нас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ледия должны быть учтены в ЕГРН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Для того чтобы объект культурного наследия надлежащим образом был защищен, его границы должны быть четко определены и внесены в Единый государственный реестр недвижимости (ЕГРН). В настоящее время в реестре недвижимости содержатся сведения о 64,5% объектов культурного наследия, из всех подлежащих внесению в ЕГРН.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Объекты культурного наследия (ОКН), расположенные на территории Алтайского края, представляют собой уникальную ценность, являются неотъемлемой частью культурного наследия края и подлежат защите с целью сохранения их для будущих поколений. В настоящий момент на территории региона расположены порядка 4,5 тыс. объектов, представляющих культурное и историческое значение (ансамбли, памятники, строения, объекты археологического наследия и достопримечательные места), принятых на государственную охрану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«Внесение в ЕГРН сведений об объектах культурного и исторического значения обеспечивает их защиту от незаконного завладения или нанесения ущерба. В настоящее время в ЕГРН содержатся сведения  о 64,5% объектов культурного наследия и 98% территорий ОКН, расположенных в Алтайском крае. За последние 2 года реестр недвижимости Алтайского края пополнился сведениями о 279 объектах культурного наследия, 730 территориях ОКН и 976 зонах охраны ОКН»</w:t>
      </w:r>
      <w:r>
        <w:rPr>
          <w:rFonts w:cs="Times New Roman" w:ascii="Times New Roman" w:hAnsi="Times New Roman"/>
          <w:sz w:val="28"/>
          <w:szCs w:val="28"/>
        </w:rPr>
        <w:t xml:space="preserve">, - сообщил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директор Кадастровой палаты по Алтайскому краю Дмитрий Комиссаров.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Достаточно часто исторические здания находятся в собственности или аренде. В них располагаются жилые или офисные помещения, банки, кафе, магазины, больницы, учебные заведения и т.д. Арендаторы и собственники таких помещений должны соблюдать ряд требований по сохранению облика используемого объекта, установленных в охранном обязательстве. Немаловажную роль в этом процессе играет наличие в ЕГРН полных и достоверных сведений о нём.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«Объекты культурного наследия являются предметом гордости, достоянием региона и страны в целом, помогают будущим поколениям изучать историю и культуру. Большое значение играют ОКН в развитии туризма и связанных с ним бизнес-проектов. Вот почему необходимо охранять такие объекты. Так, реестр недвижимости содержит сведения о территориальных зонах и территориях объектов культурного и археологического наследия, известных далеко за пределами Алтайского края - Денисовой пещере, зданиях Колыванской шлифовальной фабрики, комплексе зданий сереброплавильного завода в г. Барнауле, доме Полякова и Яковлева, доме Шадрина и др.»</w:t>
      </w:r>
      <w:r>
        <w:rPr>
          <w:rFonts w:cs="Times New Roman" w:ascii="Times New Roman" w:hAnsi="Times New Roman"/>
          <w:sz w:val="28"/>
          <w:szCs w:val="28"/>
        </w:rPr>
        <w:t xml:space="preserve">, - отметил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Дмитрий Комиссаров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Именно поэтому постановка на учет объектов культурного наследия, их территорий и охранных зон входит в число приоритетных направлений деятельности государственных органов, как с точки зрения сохранения таких объектов для будущих поколений, так и оптимизации процедуры выделения земельных участков на прилегающих территориях. Своевременное внесение в ЕГРН полных и достоверных сведений об объектах культурного наследия позволяет предотвратить 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Об Управлении Росреестра по Алтайскому краю</w:t>
      </w:r>
    </w:p>
    <w:p>
      <w:pPr>
        <w:pStyle w:val="Normal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Segoe UI" w:ascii="Segoe UI" w:hAnsi="Segoe UI"/>
          <w:color w:val="000000"/>
          <w:sz w:val="18"/>
          <w:szCs w:val="18"/>
        </w:rPr>
        <w:t>, главный регистратор Алтайского края</w:t>
      </w:r>
      <w:r>
        <w:rPr>
          <w:rFonts w:cs="Segoe UI" w:ascii="Segoe UI" w:hAnsi="Segoe UI"/>
          <w:sz w:val="18"/>
          <w:szCs w:val="18"/>
        </w:rPr>
        <w:t xml:space="preserve"> - Юрий Викторович Калашников.</w:t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Рыбальченко Елена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highlight w:val="white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 xml:space="preserve">+7 </w:t>
      </w:r>
      <w:r>
        <w:rPr>
          <w:rFonts w:cs="Segoe UI" w:ascii="Segoe UI" w:hAnsi="Segoe UI"/>
          <w:sz w:val="20"/>
          <w:szCs w:val="20"/>
          <w:shd w:fill="FFFFFF" w:val="clear"/>
        </w:rPr>
        <w:t>(3852) 29 17 33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highlight w:val="white"/>
        </w:rPr>
      </w:pPr>
      <w:r>
        <w:rPr>
          <w:rFonts w:cs="Segoe UI" w:ascii="Segoe UI" w:hAnsi="Segoe UI"/>
          <w:sz w:val="20"/>
          <w:szCs w:val="20"/>
          <w:shd w:fill="FFFFFF" w:val="clear"/>
        </w:rPr>
        <w:t xml:space="preserve">Слободянник Юлия 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highlight w:val="white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 (3852) 29 17 28</w:t>
      </w:r>
    </w:p>
    <w:p>
      <w:pPr>
        <w:pStyle w:val="NormalWeb"/>
        <w:spacing w:before="0" w:after="0"/>
        <w:rPr/>
      </w:pPr>
      <w:hyperlink r:id="rId3">
        <w:r>
          <w:rPr>
            <w:rStyle w:val="Style14"/>
            <w:rFonts w:eastAsia="Calibri" w:cs="Segoe UI" w:ascii="Segoe UI" w:hAnsi="Segoe UI"/>
            <w:sz w:val="20"/>
            <w:szCs w:val="20"/>
            <w:highlight w:val="white"/>
          </w:rPr>
          <w:t>22press_rosreestr@mail.ru</w:t>
        </w:r>
      </w:hyperlink>
    </w:p>
    <w:p>
      <w:pPr>
        <w:pStyle w:val="NormalWeb"/>
        <w:spacing w:before="0" w:after="0"/>
        <w:rPr/>
      </w:pPr>
      <w:hyperlink r:id="rId4">
        <w:r>
          <w:rPr>
            <w:rStyle w:val="Style14"/>
            <w:rFonts w:eastAsia="Calibri" w:cs="Segoe UI" w:ascii="Segoe UI" w:hAnsi="Segoe UI"/>
            <w:sz w:val="20"/>
            <w:szCs w:val="20"/>
            <w:highlight w:val="white"/>
            <w:lang w:val="en-US"/>
          </w:rPr>
          <w:t>www</w:t>
        </w:r>
        <w:r>
          <w:rPr>
            <w:rStyle w:val="Style14"/>
            <w:rFonts w:eastAsia="Calibri" w:cs="Segoe UI" w:ascii="Segoe UI" w:hAnsi="Segoe UI"/>
            <w:sz w:val="20"/>
            <w:szCs w:val="20"/>
            <w:highlight w:val="white"/>
          </w:rPr>
          <w:t>.</w:t>
        </w:r>
        <w:r>
          <w:rPr>
            <w:rStyle w:val="Style14"/>
            <w:rFonts w:eastAsia="Calibri" w:cs="Segoe UI" w:ascii="Segoe UI" w:hAnsi="Segoe UI"/>
            <w:sz w:val="20"/>
            <w:szCs w:val="20"/>
            <w:highlight w:val="white"/>
            <w:lang w:val="en-US"/>
          </w:rPr>
          <w:t>rosreestr</w:t>
        </w:r>
        <w:r>
          <w:rPr>
            <w:rStyle w:val="Style14"/>
            <w:rFonts w:eastAsia="Calibri" w:cs="Segoe UI" w:ascii="Segoe UI" w:hAnsi="Segoe UI"/>
            <w:sz w:val="20"/>
            <w:szCs w:val="20"/>
            <w:highlight w:val="white"/>
          </w:rPr>
          <w:t>.</w:t>
        </w:r>
        <w:r>
          <w:rPr>
            <w:rStyle w:val="Style14"/>
            <w:rFonts w:eastAsia="Calibri" w:cs="Segoe UI" w:ascii="Segoe UI" w:hAnsi="Segoe UI"/>
            <w:sz w:val="20"/>
            <w:szCs w:val="20"/>
            <w:highlight w:val="white"/>
            <w:lang w:val="en-US"/>
          </w:rPr>
          <w:t>ru</w:t>
        </w:r>
      </w:hyperlink>
    </w:p>
    <w:p>
      <w:pPr>
        <w:pStyle w:val="NormalWeb"/>
        <w:spacing w:before="0" w:after="0"/>
        <w:rPr>
          <w:rFonts w:eastAsia="Calibri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656002, Барнаул, ул. Советская, д. 16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1134" w:right="567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77" w:leader="none"/>
        <w:tab w:val="right" w:pos="9355" w:leader="none"/>
      </w:tabs>
      <w:spacing w:lineRule="auto" w:line="240" w:before="0" w:after="0"/>
      <w:rPr>
        <w:rFonts w:ascii="Times New Roman" w:hAnsi="Times New Roman" w:eastAsia="Times New Roman" w:cs="Times New Roman"/>
        <w:sz w:val="16"/>
        <w:szCs w:val="16"/>
        <w:lang w:eastAsia="ru-RU"/>
      </w:rPr>
    </w:pPr>
    <w:r>
      <w:rPr>
        <w:rFonts w:eastAsia="Times New Roman" w:cs="Times New Roman" w:ascii="Times New Roman" w:hAnsi="Times New Roman"/>
        <w:sz w:val="16"/>
        <w:szCs w:val="16"/>
        <w:lang w:eastAsia="ru-RU"/>
      </w:rPr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3e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973eeb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73ee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73eeb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73e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2press_rosreestr@mail.ru" TargetMode="External"/><Relationship Id="rId4" Type="http://schemas.openxmlformats.org/officeDocument/2006/relationships/hyperlink" Target="http://www.rosreestr.ru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LibreOffice/5.2.5.1$Windows_x86 LibreOffice_project/0312e1a284a7d50ca85a365c316c7abbf20a4d22</Application>
  <Pages>2</Pages>
  <Words>563</Words>
  <Characters>4045</Characters>
  <CharactersWithSpaces>4591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2022-03-23T01:30:00Z</dcterms:created>
  <dc:creator>Слободянник Юлия Олеговна</dc:creator>
  <dc:description/>
  <dc:language>ru-RU</dc:language>
  <cp:lastModifiedBy/>
  <dcterms:modified xsi:type="dcterms:W3CDTF">2022-03-23T09:36:16Z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